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843c0b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43c0b"/>
          <w:sz w:val="40"/>
          <w:szCs w:val="40"/>
          <w:u w:val="single"/>
          <w:rtl w:val="0"/>
        </w:rPr>
        <w:t xml:space="preserve">KENDRIYA VIDYALAYA JORHAT NO.3 (RRL)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DATE- 26/08/2020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c00000"/>
          <w:sz w:val="44"/>
          <w:szCs w:val="4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44"/>
          <w:szCs w:val="44"/>
          <w:u w:val="single"/>
          <w:rtl w:val="0"/>
        </w:rPr>
        <w:t xml:space="preserve">NOTICE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Third Waiting List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Following candidates are invited for Only Document Verification within two days (by 27/08/2020).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Admission in Class I, for these candidates, is subjected to vacancy in the reserved category, if any.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ST Waiting list No. 5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OBC NCL Waiting list No.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15, 16, 17, 18 and 1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School Authority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